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F" w:rsidRPr="00A84814" w:rsidRDefault="005F68BF" w:rsidP="00A84814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Pr="00761A04">
        <w:rPr>
          <w:color w:val="auto"/>
          <w:sz w:val="44"/>
          <w:szCs w:val="44"/>
        </w:rPr>
        <w:t xml:space="preserve"> </w:t>
      </w:r>
      <w:r w:rsidR="00A84814">
        <w:rPr>
          <w:color w:val="auto"/>
          <w:sz w:val="44"/>
          <w:szCs w:val="44"/>
        </w:rPr>
        <w:t xml:space="preserve">– </w:t>
      </w:r>
      <w:r w:rsidR="003329E2">
        <w:rPr>
          <w:rFonts w:ascii="Times New Roman" w:hAnsi="Times New Roman" w:cs="Times New Roman"/>
          <w:sz w:val="44"/>
          <w:szCs w:val="44"/>
          <w:highlight w:val="yellow"/>
        </w:rPr>
        <w:t>Certificate in</w:t>
      </w:r>
      <w:r w:rsidR="00F02EFB" w:rsidRPr="00125524">
        <w:rPr>
          <w:rFonts w:ascii="Times New Roman" w:hAnsi="Times New Roman" w:cs="Times New Roman"/>
          <w:sz w:val="44"/>
          <w:szCs w:val="44"/>
          <w:highlight w:val="yellow"/>
        </w:rPr>
        <w:t xml:space="preserve"> Business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310"/>
        <w:gridCol w:w="361"/>
        <w:gridCol w:w="1801"/>
        <w:gridCol w:w="628"/>
        <w:gridCol w:w="1080"/>
        <w:gridCol w:w="630"/>
        <w:gridCol w:w="1710"/>
        <w:gridCol w:w="491"/>
        <w:gridCol w:w="413"/>
        <w:gridCol w:w="3071"/>
      </w:tblGrid>
      <w:tr w:rsidR="008F3A8A" w:rsidRPr="004378A7" w:rsidTr="00A8391D">
        <w:trPr>
          <w:trHeight w:hRule="exact" w:val="473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A" w:rsidRPr="004378A7" w:rsidRDefault="008F3A8A" w:rsidP="004C1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02EFB">
              <w:rPr>
                <w:sz w:val="20"/>
                <w:szCs w:val="20"/>
              </w:rPr>
              <w:t>Business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150D5E" w:rsidRDefault="003329E2" w:rsidP="008F3A8A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CC0D9" w:themeFill="accent4" w:themeFillTint="66"/>
          </w:tcPr>
          <w:p w:rsidR="008F3A8A" w:rsidRPr="008F3A8A" w:rsidRDefault="008F3A8A" w:rsidP="009B0F42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8F3A8A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4378A7" w:rsidRDefault="00F02EFB" w:rsidP="009B0F42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7, 2017</w:t>
            </w:r>
          </w:p>
        </w:tc>
      </w:tr>
      <w:tr w:rsidR="00DF526E" w:rsidRPr="004378A7" w:rsidTr="007B1E00">
        <w:trPr>
          <w:trHeight w:val="460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7B1E00">
        <w:trPr>
          <w:trHeight w:val="1609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8F5551" w:rsidRDefault="00DF526E" w:rsidP="00375295">
            <w:p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8F5551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8F5551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A8391D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54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5E" w:rsidRDefault="00A8391D" w:rsidP="00A8391D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Sharon Hurley, </w:t>
            </w:r>
            <w:proofErr w:type="spellStart"/>
            <w:r>
              <w:rPr>
                <w:sz w:val="20"/>
                <w:szCs w:val="20"/>
              </w:rPr>
              <w:t>Dept</w:t>
            </w:r>
            <w:proofErr w:type="spellEnd"/>
            <w:r>
              <w:rPr>
                <w:sz w:val="20"/>
                <w:szCs w:val="20"/>
              </w:rPr>
              <w:t xml:space="preserve"> Chair, Business</w:t>
            </w:r>
          </w:p>
          <w:p w:rsidR="00A8391D" w:rsidRDefault="009C4FE8" w:rsidP="00A8391D">
            <w:pPr>
              <w:spacing w:line="240" w:lineRule="auto"/>
              <w:contextualSpacing/>
              <w:rPr>
                <w:sz w:val="20"/>
                <w:szCs w:val="20"/>
              </w:rPr>
            </w:pPr>
            <w:hyperlink r:id="rId6" w:history="1">
              <w:r w:rsidR="00A8391D" w:rsidRPr="00516A8C">
                <w:rPr>
                  <w:rStyle w:val="Hyperlink"/>
                  <w:sz w:val="20"/>
                  <w:szCs w:val="20"/>
                </w:rPr>
                <w:t>Shurley1@unm.edu</w:t>
              </w:r>
            </w:hyperlink>
            <w:r w:rsidR="00A839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A8391D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E404AE" w:rsidP="00A8391D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8391D">
              <w:rPr>
                <w:sz w:val="20"/>
                <w:szCs w:val="20"/>
              </w:rPr>
              <w:t>April 10, 2017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8F5551" w:rsidP="00A8391D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329E2">
              <w:rPr>
                <w:sz w:val="20"/>
                <w:szCs w:val="20"/>
              </w:rPr>
              <w:t>1-year assessment cycle</w:t>
            </w:r>
          </w:p>
        </w:tc>
      </w:tr>
      <w:tr w:rsidR="00DF526E" w:rsidRPr="004378A7" w:rsidTr="00296283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A8391D" w:rsidRDefault="00A8391D" w:rsidP="00562038">
            <w:pPr>
              <w:rPr>
                <w:b/>
                <w:sz w:val="20"/>
                <w:szCs w:val="20"/>
              </w:rPr>
            </w:pPr>
            <w:r w:rsidRPr="00A8391D">
              <w:rPr>
                <w:rFonts w:cs="Arial"/>
                <w:b/>
                <w:bCs/>
              </w:rPr>
              <w:t>Graduates have a broad understanding of basic management principles and the environment in which businesses operate.</w:t>
            </w:r>
          </w:p>
        </w:tc>
      </w:tr>
      <w:tr w:rsidR="00375295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A8391D" w:rsidRPr="004378A7" w:rsidTr="00801432"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1D" w:rsidRPr="00150D5E" w:rsidRDefault="003329E2" w:rsidP="00A8391D">
            <w:pPr>
              <w:pStyle w:val="Default1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Students will a</w:t>
            </w:r>
            <w:r w:rsidR="00A8391D" w:rsidRPr="00150D5E">
              <w:rPr>
                <w:rFonts w:asciiTheme="minorHAnsi" w:hAnsiTheme="minorHAnsi" w:cs="Arial"/>
                <w:color w:val="000000"/>
                <w:sz w:val="20"/>
                <w:szCs w:val="20"/>
              </w:rPr>
              <w:t>pply financial accounting procedures and principles including journalizing, posting and preparing primary financial statements.</w:t>
            </w:r>
          </w:p>
          <w:p w:rsidR="00A8391D" w:rsidRPr="00150D5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1D" w:rsidRDefault="00A8391D" w:rsidP="00A8391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Year 1 course</w:t>
            </w:r>
          </w:p>
          <w:p w:rsidR="00A8391D" w:rsidRDefault="00A8391D" w:rsidP="00A8391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A8391D" w:rsidRPr="00150D5E" w:rsidRDefault="00A8391D" w:rsidP="00A8391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(Offered each fall)</w:t>
            </w:r>
          </w:p>
        </w:tc>
        <w:tc>
          <w:tcPr>
            <w:tcW w:w="1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1D" w:rsidRDefault="00A8391D" w:rsidP="00A8391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Knowledge</w:t>
            </w:r>
          </w:p>
          <w:p w:rsidR="00A8391D" w:rsidRPr="00150D5E" w:rsidRDefault="00A8391D" w:rsidP="00A8391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50D5E">
              <w:rPr>
                <w:rFonts w:cs="Arial"/>
                <w:sz w:val="20"/>
                <w:szCs w:val="20"/>
              </w:rPr>
              <w:t>Skills</w:t>
            </w:r>
          </w:p>
        </w:tc>
        <w:tc>
          <w:tcPr>
            <w:tcW w:w="495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A20A2E">
              <w:rPr>
                <w:rFonts w:asciiTheme="minorHAnsi" w:hAnsiTheme="minorHAnsi" w:cs="Arial"/>
                <w:b/>
                <w:sz w:val="20"/>
                <w:szCs w:val="20"/>
              </w:rPr>
              <w:t>MGMT 101: Principles of Accounting I</w:t>
            </w: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>Direct Assessment</w:t>
            </w:r>
            <w:r w:rsidRPr="00A20A2E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: </w:t>
            </w:r>
          </w:p>
          <w:p w:rsidR="00A8391D" w:rsidRPr="00A20A2E" w:rsidRDefault="00A8391D" w:rsidP="00A8391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>Financial accounting practice set</w:t>
            </w:r>
          </w:p>
          <w:p w:rsidR="00A8391D" w:rsidRPr="00A20A2E" w:rsidRDefault="00A8391D" w:rsidP="00A8391D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Specific questions on the Final Exam  </w:t>
            </w: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1D" w:rsidRPr="00150D5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150D5E">
              <w:rPr>
                <w:rFonts w:asciiTheme="minorHAnsi" w:hAnsiTheme="minorHAnsi" w:cs="Arial"/>
                <w:sz w:val="20"/>
                <w:szCs w:val="20"/>
              </w:rPr>
              <w:t>Performance Target: At least 70% of the students will perform with a score of 70 or higher.</w:t>
            </w:r>
          </w:p>
          <w:p w:rsidR="00A8391D" w:rsidRPr="00150D5E" w:rsidRDefault="00A8391D" w:rsidP="00A839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8391D" w:rsidRPr="00150D5E" w:rsidRDefault="00A8391D" w:rsidP="00A839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8391D" w:rsidRPr="00150D5E" w:rsidRDefault="00A8391D" w:rsidP="00A839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8391D" w:rsidRPr="00150D5E" w:rsidRDefault="00A8391D" w:rsidP="00A839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8391D" w:rsidRPr="00150D5E" w:rsidRDefault="00A8391D" w:rsidP="00A839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8391D" w:rsidRPr="00150D5E" w:rsidRDefault="00A8391D" w:rsidP="00A839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A8391D" w:rsidRPr="00150D5E" w:rsidRDefault="00A8391D" w:rsidP="00A839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8391D" w:rsidRPr="004378A7" w:rsidTr="00801432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1D" w:rsidRPr="00801432" w:rsidRDefault="003329E2" w:rsidP="00A8391D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Students will m</w:t>
            </w:r>
            <w:r w:rsidR="00A8391D" w:rsidRPr="00801432">
              <w:rPr>
                <w:rFonts w:asciiTheme="minorHAnsi" w:hAnsiTheme="minorHAnsi" w:cs="Arial"/>
                <w:sz w:val="22"/>
                <w:szCs w:val="22"/>
              </w:rPr>
              <w:t xml:space="preserve">odel </w:t>
            </w:r>
            <w:r w:rsidR="00A8391D" w:rsidRPr="00801432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fundamental managerial accounting processes and the concepts underlying these processes.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1D" w:rsidRDefault="00A8391D" w:rsidP="00A8391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Year 1 course</w:t>
            </w:r>
          </w:p>
          <w:p w:rsidR="00A8391D" w:rsidRDefault="00A8391D" w:rsidP="00A8391D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A8391D" w:rsidRPr="00801432" w:rsidRDefault="00A8391D" w:rsidP="00A8391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(offered every spring)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91D" w:rsidRDefault="00A8391D" w:rsidP="00A8391D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Knowledge</w:t>
            </w:r>
          </w:p>
          <w:p w:rsidR="00A8391D" w:rsidRPr="00801432" w:rsidRDefault="00A8391D" w:rsidP="00A8391D">
            <w:pPr>
              <w:spacing w:after="0" w:line="240" w:lineRule="auto"/>
              <w:jc w:val="center"/>
              <w:rPr>
                <w:rFonts w:cs="Arial"/>
              </w:rPr>
            </w:pPr>
            <w:r w:rsidRPr="00801432">
              <w:rPr>
                <w:rFonts w:cs="Arial"/>
              </w:rPr>
              <w:lastRenderedPageBreak/>
              <w:t>Skills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lastRenderedPageBreak/>
              <w:t xml:space="preserve">Course: </w:t>
            </w:r>
            <w:proofErr w:type="spellStart"/>
            <w:r w:rsidRPr="00A20A2E">
              <w:rPr>
                <w:rFonts w:asciiTheme="minorHAnsi" w:hAnsiTheme="minorHAnsi" w:cs="Arial"/>
                <w:b/>
                <w:sz w:val="20"/>
                <w:szCs w:val="20"/>
              </w:rPr>
              <w:t>Mgmt</w:t>
            </w:r>
            <w:proofErr w:type="spellEnd"/>
            <w:r w:rsidRPr="00A20A2E">
              <w:rPr>
                <w:rFonts w:asciiTheme="minorHAnsi" w:hAnsiTheme="minorHAnsi" w:cs="Arial"/>
                <w:b/>
                <w:sz w:val="20"/>
                <w:szCs w:val="20"/>
              </w:rPr>
              <w:t xml:space="preserve"> 102: Principles of Accounting II </w:t>
            </w: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>Direct Assessment</w:t>
            </w:r>
            <w:r w:rsidRPr="00A20A2E">
              <w:rPr>
                <w:rFonts w:asciiTheme="minorHAnsi" w:hAnsiTheme="minorHAnsi" w:cs="Arial"/>
                <w:sz w:val="20"/>
                <w:szCs w:val="20"/>
                <w:u w:val="single"/>
              </w:rPr>
              <w:t xml:space="preserve">: </w:t>
            </w:r>
          </w:p>
          <w:p w:rsidR="00A8391D" w:rsidRPr="00A20A2E" w:rsidRDefault="00A8391D" w:rsidP="00A8391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>Financial accounting practice set</w:t>
            </w:r>
          </w:p>
          <w:p w:rsidR="00A8391D" w:rsidRPr="00A20A2E" w:rsidRDefault="00A8391D" w:rsidP="00A8391D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Specific questions on the Final Exam  </w:t>
            </w: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A8391D" w:rsidRPr="00A20A2E" w:rsidRDefault="00A8391D" w:rsidP="00A8391D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A20A2E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A8391D" w:rsidRPr="00A20A2E" w:rsidRDefault="00A8391D" w:rsidP="00A8391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1D" w:rsidRPr="00801432" w:rsidRDefault="00A8391D" w:rsidP="00A8391D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801432">
              <w:rPr>
                <w:rFonts w:asciiTheme="minorHAnsi" w:hAnsiTheme="minorHAnsi" w:cs="Arial"/>
                <w:sz w:val="22"/>
                <w:szCs w:val="22"/>
              </w:rPr>
              <w:lastRenderedPageBreak/>
              <w:t xml:space="preserve">Performance Target: At least 70% </w:t>
            </w:r>
            <w:r w:rsidRPr="00801432">
              <w:rPr>
                <w:rFonts w:asciiTheme="minorHAnsi" w:hAnsiTheme="minorHAnsi" w:cs="Arial"/>
                <w:sz w:val="22"/>
                <w:szCs w:val="22"/>
              </w:rPr>
              <w:lastRenderedPageBreak/>
              <w:t>of the students will perform with a score of 70 or higher.</w:t>
            </w:r>
          </w:p>
          <w:p w:rsidR="00A8391D" w:rsidRPr="00801432" w:rsidRDefault="00A8391D" w:rsidP="00A8391D">
            <w:pPr>
              <w:spacing w:after="0" w:line="240" w:lineRule="auto"/>
              <w:rPr>
                <w:rFonts w:cs="Arial"/>
              </w:rPr>
            </w:pPr>
          </w:p>
        </w:tc>
      </w:tr>
      <w:tr w:rsidR="003329E2" w:rsidRPr="004378A7" w:rsidTr="00801432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2" w:rsidRPr="000354FF" w:rsidRDefault="003329E2" w:rsidP="003329E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Students will p</w:t>
            </w:r>
            <w:r w:rsidRPr="000354FF">
              <w:rPr>
                <w:rFonts w:asciiTheme="minorHAnsi" w:hAnsiTheme="minorHAnsi" w:cs="Arial"/>
                <w:sz w:val="22"/>
                <w:szCs w:val="22"/>
              </w:rPr>
              <w:t xml:space="preserve">repare spreadsheets using appropriate software 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2" w:rsidRDefault="003329E2" w:rsidP="003329E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 course</w:t>
            </w:r>
          </w:p>
          <w:p w:rsidR="003329E2" w:rsidRDefault="003329E2" w:rsidP="003329E2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3329E2" w:rsidRPr="000354FF" w:rsidRDefault="003329E2" w:rsidP="003329E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(offered every semester)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E2" w:rsidRDefault="003329E2" w:rsidP="003329E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</w:p>
          <w:p w:rsidR="003329E2" w:rsidRPr="000354FF" w:rsidRDefault="003329E2" w:rsidP="003329E2">
            <w:pPr>
              <w:spacing w:after="0" w:line="240" w:lineRule="auto"/>
              <w:jc w:val="center"/>
              <w:rPr>
                <w:rFonts w:cs="Arial"/>
              </w:rPr>
            </w:pPr>
            <w:r w:rsidRPr="000354FF"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2" w:rsidRPr="000354FF" w:rsidRDefault="003329E2" w:rsidP="003329E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0354FF">
              <w:rPr>
                <w:rFonts w:asciiTheme="minorHAnsi" w:hAnsiTheme="minorHAnsi" w:cs="Arial"/>
                <w:b/>
                <w:sz w:val="20"/>
                <w:szCs w:val="20"/>
              </w:rPr>
              <w:t>CS 150L: Computing for Business Students</w:t>
            </w:r>
          </w:p>
          <w:p w:rsidR="003329E2" w:rsidRDefault="003329E2" w:rsidP="003329E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3329E2" w:rsidRDefault="003329E2" w:rsidP="003329E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Direct Assessment:</w:t>
            </w:r>
          </w:p>
          <w:p w:rsidR="003329E2" w:rsidRPr="000354FF" w:rsidRDefault="003329E2" w:rsidP="003329E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(1) Specific questions on the Final Exam  </w:t>
            </w:r>
          </w:p>
          <w:p w:rsidR="003329E2" w:rsidRPr="000354FF" w:rsidRDefault="003329E2" w:rsidP="003329E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3329E2" w:rsidRPr="000354FF" w:rsidRDefault="003329E2" w:rsidP="003329E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3329E2" w:rsidRPr="000354FF" w:rsidRDefault="003329E2" w:rsidP="003329E2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3329E2" w:rsidRPr="000354FF" w:rsidRDefault="003329E2" w:rsidP="003329E2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E2" w:rsidRPr="000354FF" w:rsidRDefault="003329E2" w:rsidP="003329E2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0354FF">
              <w:rPr>
                <w:rFonts w:asciiTheme="minorHAnsi" w:hAnsiTheme="minorHAnsi" w:cs="Arial"/>
                <w:sz w:val="22"/>
                <w:szCs w:val="22"/>
              </w:rPr>
              <w:t>Performance Target: At least 70% of the students will perform with a score of 70 or higher.</w:t>
            </w:r>
          </w:p>
          <w:p w:rsidR="003329E2" w:rsidRPr="000354FF" w:rsidRDefault="003329E2" w:rsidP="003329E2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3329E2" w:rsidRPr="005F68BF" w:rsidRDefault="003329E2" w:rsidP="003329E2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  <w:bookmarkStart w:id="0" w:name="_GoBack"/>
      <w:bookmarkEnd w:id="0"/>
    </w:p>
    <w:sectPr w:rsidR="003329E2" w:rsidRPr="005F68BF" w:rsidSect="006E79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D8B"/>
    <w:multiLevelType w:val="hybridMultilevel"/>
    <w:tmpl w:val="F4F64C66"/>
    <w:lvl w:ilvl="0" w:tplc="F66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10BD0"/>
    <w:multiLevelType w:val="hybridMultilevel"/>
    <w:tmpl w:val="34BEC5D2"/>
    <w:lvl w:ilvl="0" w:tplc="04522E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E04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CC0CE8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BF"/>
    <w:rsid w:val="000450D6"/>
    <w:rsid w:val="000B6AB1"/>
    <w:rsid w:val="000F65F7"/>
    <w:rsid w:val="00125524"/>
    <w:rsid w:val="001302BE"/>
    <w:rsid w:val="00150D5E"/>
    <w:rsid w:val="001C34D1"/>
    <w:rsid w:val="001E4F37"/>
    <w:rsid w:val="00225965"/>
    <w:rsid w:val="00240B84"/>
    <w:rsid w:val="00296283"/>
    <w:rsid w:val="003014FE"/>
    <w:rsid w:val="00306EC3"/>
    <w:rsid w:val="003329E2"/>
    <w:rsid w:val="00375295"/>
    <w:rsid w:val="003F4304"/>
    <w:rsid w:val="004C1A68"/>
    <w:rsid w:val="004E384C"/>
    <w:rsid w:val="00562038"/>
    <w:rsid w:val="005B2BD2"/>
    <w:rsid w:val="005F68BF"/>
    <w:rsid w:val="00607C8F"/>
    <w:rsid w:val="00610863"/>
    <w:rsid w:val="006535FC"/>
    <w:rsid w:val="006B08F8"/>
    <w:rsid w:val="006B5A5C"/>
    <w:rsid w:val="006D1A08"/>
    <w:rsid w:val="006E7988"/>
    <w:rsid w:val="007418AD"/>
    <w:rsid w:val="0075519F"/>
    <w:rsid w:val="007605B0"/>
    <w:rsid w:val="007925F5"/>
    <w:rsid w:val="007A3A11"/>
    <w:rsid w:val="007B1E00"/>
    <w:rsid w:val="007D1430"/>
    <w:rsid w:val="007E081D"/>
    <w:rsid w:val="007F2E97"/>
    <w:rsid w:val="00801432"/>
    <w:rsid w:val="008F3A8A"/>
    <w:rsid w:val="008F5551"/>
    <w:rsid w:val="0091303A"/>
    <w:rsid w:val="009B0F42"/>
    <w:rsid w:val="009C4FE8"/>
    <w:rsid w:val="009D5749"/>
    <w:rsid w:val="009F3203"/>
    <w:rsid w:val="00A315D6"/>
    <w:rsid w:val="00A46354"/>
    <w:rsid w:val="00A53B08"/>
    <w:rsid w:val="00A8391D"/>
    <w:rsid w:val="00A84814"/>
    <w:rsid w:val="00AC3BD2"/>
    <w:rsid w:val="00B239EE"/>
    <w:rsid w:val="00BD0D03"/>
    <w:rsid w:val="00C066DF"/>
    <w:rsid w:val="00C328E3"/>
    <w:rsid w:val="00CD43AC"/>
    <w:rsid w:val="00CD7930"/>
    <w:rsid w:val="00DA5383"/>
    <w:rsid w:val="00DB21E8"/>
    <w:rsid w:val="00DE321B"/>
    <w:rsid w:val="00DF526E"/>
    <w:rsid w:val="00E0684E"/>
    <w:rsid w:val="00E404AE"/>
    <w:rsid w:val="00E83D52"/>
    <w:rsid w:val="00F02EFB"/>
    <w:rsid w:val="00F220F8"/>
    <w:rsid w:val="00F769FF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61710-B019-4301-AC95-E4D6E208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D5E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50D5E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150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50D5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urley1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6EC44-C6A2-44DB-A611-B767A0E6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Willerton</dc:creator>
  <cp:lastModifiedBy>Mickey Marsee</cp:lastModifiedBy>
  <cp:revision>5</cp:revision>
  <cp:lastPrinted>2018-01-17T19:39:00Z</cp:lastPrinted>
  <dcterms:created xsi:type="dcterms:W3CDTF">2017-04-10T16:37:00Z</dcterms:created>
  <dcterms:modified xsi:type="dcterms:W3CDTF">2018-01-17T19:39:00Z</dcterms:modified>
</cp:coreProperties>
</file>